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 xml:space="preserve">Oznaczenie sprawy: </w:t>
      </w:r>
      <w:r w:rsidRPr="00D9093B">
        <w:rPr>
          <w:rFonts w:ascii="Calibri" w:eastAsia="Calibri" w:hAnsi="Calibri" w:cs="Arial"/>
          <w:b/>
          <w:sz w:val="18"/>
          <w:szCs w:val="18"/>
        </w:rPr>
        <w:t>ZOM/KP/</w:t>
      </w:r>
      <w:r w:rsidR="00D9093B" w:rsidRPr="00D9093B">
        <w:rPr>
          <w:rFonts w:ascii="Calibri" w:eastAsia="Calibri" w:hAnsi="Calibri" w:cs="Arial"/>
          <w:b/>
          <w:sz w:val="18"/>
          <w:szCs w:val="18"/>
        </w:rPr>
        <w:t>8</w:t>
      </w:r>
      <w:r w:rsidR="004C4F01" w:rsidRPr="00D9093B">
        <w:rPr>
          <w:rFonts w:ascii="Calibri" w:eastAsia="Calibri" w:hAnsi="Calibri" w:cs="Arial"/>
          <w:b/>
          <w:sz w:val="18"/>
          <w:szCs w:val="18"/>
        </w:rPr>
        <w:t>/</w:t>
      </w:r>
      <w:r w:rsidR="004C4F01" w:rsidRPr="00C467EF">
        <w:rPr>
          <w:rFonts w:ascii="Calibri" w:eastAsia="Calibri" w:hAnsi="Calibri" w:cs="Arial"/>
          <w:b/>
          <w:sz w:val="18"/>
          <w:szCs w:val="18"/>
        </w:rPr>
        <w:t xml:space="preserve">20  </w:t>
      </w:r>
      <w:r w:rsidR="004420FF" w:rsidRPr="00C467EF">
        <w:rPr>
          <w:rFonts w:ascii="Cambria" w:eastAsia="Calibri" w:hAnsi="Cambria" w:cs="Arial"/>
          <w:b/>
          <w:sz w:val="18"/>
          <w:szCs w:val="18"/>
        </w:rPr>
        <w:t xml:space="preserve"> </w:t>
      </w:r>
      <w:r w:rsidR="004420FF" w:rsidRPr="00C467E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</w:t>
      </w:r>
      <w:r w:rsidR="004420FF" w:rsidRPr="00C467EF">
        <w:rPr>
          <w:rFonts w:ascii="Calibri" w:eastAsia="Calibri" w:hAnsi="Calibri" w:cs="Times New Roman"/>
          <w:i/>
        </w:rPr>
        <w:t xml:space="preserve">                                       </w:t>
      </w:r>
      <w:r w:rsidR="00C467EF">
        <w:rPr>
          <w:rFonts w:ascii="Calibri" w:eastAsia="Calibri" w:hAnsi="Calibri" w:cs="Times New Roman"/>
          <w:i/>
        </w:rPr>
        <w:t xml:space="preserve">          </w:t>
      </w:r>
      <w:r w:rsidR="004420FF" w:rsidRPr="00C467E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F32C25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F32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F32C25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2020/S 162-393802 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334B2E">
              <w:rPr>
                <w:rFonts w:ascii="Arial" w:eastAsia="Calibri" w:hAnsi="Arial" w:cs="Arial"/>
                <w:b/>
                <w:sz w:val="24"/>
                <w:szCs w:val="24"/>
              </w:rPr>
              <w:t xml:space="preserve">z </w:t>
            </w:r>
            <w:r w:rsidR="00F32C25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502158">
              <w:rPr>
                <w:rFonts w:ascii="Arial" w:eastAsia="Calibri" w:hAnsi="Arial" w:cs="Arial"/>
                <w:b/>
                <w:sz w:val="24"/>
                <w:szCs w:val="24"/>
              </w:rPr>
              <w:t>21.08.2020</w:t>
            </w:r>
            <w:r w:rsidR="001054D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r.</w:t>
            </w:r>
          </w:p>
        </w:tc>
      </w:tr>
      <w:tr w:rsidR="004420FF" w:rsidRPr="004420FF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334B2E" w:rsidP="00D9093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Kompleksowe mechaniczne </w:t>
            </w:r>
            <w:r w:rsidR="00D9093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oczyszczanie jezdni ulic m.st. Warszawy w sezonie zimowym i letnim w latach 2021-2024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57036" w:rsidP="00D909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D9093B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8</w:t>
            </w:r>
            <w:r w:rsidR="004C4F01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/20</w:t>
            </w:r>
          </w:p>
        </w:tc>
      </w:tr>
      <w:tr w:rsidR="004420FF" w:rsidRPr="004420FF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A141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A1419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7"/>
    <w:rsid w:val="0001299B"/>
    <w:rsid w:val="00083D41"/>
    <w:rsid w:val="000D613F"/>
    <w:rsid w:val="001054D6"/>
    <w:rsid w:val="0018094B"/>
    <w:rsid w:val="002827EE"/>
    <w:rsid w:val="002C7EB0"/>
    <w:rsid w:val="00334B2E"/>
    <w:rsid w:val="00347311"/>
    <w:rsid w:val="003D786B"/>
    <w:rsid w:val="004420FF"/>
    <w:rsid w:val="004A6C5F"/>
    <w:rsid w:val="004C4F01"/>
    <w:rsid w:val="004F7700"/>
    <w:rsid w:val="00502158"/>
    <w:rsid w:val="00551BCD"/>
    <w:rsid w:val="00557036"/>
    <w:rsid w:val="005F001E"/>
    <w:rsid w:val="00644BDB"/>
    <w:rsid w:val="0070265E"/>
    <w:rsid w:val="007125A9"/>
    <w:rsid w:val="00722145"/>
    <w:rsid w:val="00724497"/>
    <w:rsid w:val="007A1419"/>
    <w:rsid w:val="007C463F"/>
    <w:rsid w:val="007D49B8"/>
    <w:rsid w:val="008B5057"/>
    <w:rsid w:val="00941B2B"/>
    <w:rsid w:val="009A179B"/>
    <w:rsid w:val="00A06637"/>
    <w:rsid w:val="00A44B1A"/>
    <w:rsid w:val="00AC2B7F"/>
    <w:rsid w:val="00AD1870"/>
    <w:rsid w:val="00BF10F7"/>
    <w:rsid w:val="00C467EF"/>
    <w:rsid w:val="00C8536E"/>
    <w:rsid w:val="00CD52C9"/>
    <w:rsid w:val="00D83853"/>
    <w:rsid w:val="00D9093B"/>
    <w:rsid w:val="00D924CD"/>
    <w:rsid w:val="00E43CB1"/>
    <w:rsid w:val="00EA4B04"/>
    <w:rsid w:val="00EB30C6"/>
    <w:rsid w:val="00F25617"/>
    <w:rsid w:val="00F32C25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0F8D7-F662-43C3-BFEC-5EAE1577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6420</Words>
  <Characters>38523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6</cp:revision>
  <cp:lastPrinted>2020-08-10T11:01:00Z</cp:lastPrinted>
  <dcterms:created xsi:type="dcterms:W3CDTF">2020-07-29T11:23:00Z</dcterms:created>
  <dcterms:modified xsi:type="dcterms:W3CDTF">2020-08-21T05:22:00Z</dcterms:modified>
</cp:coreProperties>
</file>